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278" w:firstLine="0"/>
        <w:jc w:val="center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272378</wp:posOffset>
            </wp:positionH>
            <wp:positionV relativeFrom="page">
              <wp:posOffset>241299</wp:posOffset>
            </wp:positionV>
            <wp:extent cx="5562600" cy="2463800"/>
            <wp:effectExtent l="0" t="0" r="0" b="0"/>
            <wp:wrapThrough wrapText="bothSides" distL="152400" distR="152400">
              <wp:wrapPolygon edited="1">
                <wp:start x="0" y="56"/>
                <wp:lineTo x="21600" y="56"/>
                <wp:lineTo x="21600" y="21544"/>
                <wp:lineTo x="0" y="21544"/>
                <wp:lineTo x="0" y="5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46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278" w:firstLine="0"/>
        <w:jc w:val="right"/>
        <w:rPr>
          <w:rFonts w:ascii="Calibri" w:hAnsi="Calibri"/>
          <w:rtl w:val="0"/>
        </w:rPr>
      </w:pPr>
    </w:p>
    <w:p>
      <w:pPr>
        <w:pStyle w:val="Default"/>
        <w:bidi w:val="0"/>
        <w:spacing w:before="0"/>
        <w:ind w:left="0" w:right="278" w:firstLine="0"/>
        <w:jc w:val="right"/>
        <w:rPr>
          <w:rFonts w:ascii="Calibri" w:hAnsi="Calibri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MANUAL HANDLING POLICY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To comply with Occupational Health and Safety Act 1991, which requires the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Pre-school to follow the guidelines set out in this legislation.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Manual Handling means lifting, lowering, pushing, pulling, carrying, moving, holding or restraining any object, animal or person.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Procedures for managing and monitoring safe manual handling.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Staff are encouraged to use their common sense and not to take unnecessary risks when handling large/heavy objects. When lifting a child or object weighing more than 15 kilos, staff are required to seek assistance.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It is the responsibility of all staff to follow the procedures below and to assist by identifying manual handling hazards and risks.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Regular checks to monitor use of manual handling at the pre-school. Any difficulties noted will then be dealt with immediately.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>Managing risks for manual handling.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 xml:space="preserve">Identifying risks </w:t>
      </w: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discuss issues with staff and check past incidents/accidents records.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 xml:space="preserve">Assess risks </w:t>
      </w: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how much strain, pressure, stress, weight, force, grip, skill and duration is required for each activity.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A risk assessment will be undertaken for any expectant student or staff member within the setting during their pregnancy.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 xml:space="preserve">Control risks </w:t>
      </w: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when designing tasks in order to minimise injury, look at changing the way jobs are done, change the layout of the workplace, and change the equipment.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Correct Lifting Procedures.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IF IN DOUBT, DO NOT LIFT!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Staff must never twist while lifting.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When staff lift a child or object they should not stretch over and lift, but lean close and raise as close as possible to their body.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When lifting staff must:-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Place their feet apart in a striding position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Keep their breastbone elevated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Bend their knees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Brace their stomach muscles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Hold the child or object close to their body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Move their feet not their spine, to stand up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Prepare to move in a forwards direction.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:lang w:val="de-DE"/>
          <w14:textFill>
            <w14:solidFill>
              <w14:srgbClr w14:val="666666"/>
            </w14:solidFill>
          </w14:textFill>
        </w:rPr>
        <w:t xml:space="preserve">·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Staff should transfer heavy items to smaller containers to reduce weight.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Staff should:-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Kneel where possible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Avoid sitting on child sized chairs where possible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Refrain from carrying children on their hip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Lift children with one arm under their buttocks and the other arm under their backs, with the child facing them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rtl w:val="0"/>
          <w:lang w:val="en-US"/>
          <w14:textFill>
            <w14:solidFill>
              <w14:srgbClr w14:val="666666"/>
            </w14:solidFill>
          </w14:textFill>
        </w:rPr>
        <w:t>Date: 7/6/2022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 w:hint="default"/>
          <w:outline w:val="0"/>
          <w:color w:val="666666"/>
          <w:rtl w:val="0"/>
          <w14:textFill>
            <w14:solidFill>
              <w14:srgbClr w14:val="666666"/>
            </w14:solidFill>
          </w14:textFill>
        </w:rPr>
        <w:t> </w:t>
      </w:r>
    </w:p>
    <w:p>
      <w:pPr>
        <w:pStyle w:val="Default"/>
        <w:bidi w:val="0"/>
        <w:spacing w:before="0"/>
        <w:ind w:left="0" w:right="278" w:firstLine="0"/>
        <w:jc w:val="righ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278" w:firstLine="0"/>
        <w:jc w:val="righ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278" w:firstLine="0"/>
        <w:jc w:val="righ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278" w:firstLine="0"/>
        <w:jc w:val="righ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278" w:firstLine="0"/>
        <w:jc w:val="right"/>
        <w:rPr>
          <w:rtl w:val="0"/>
        </w:rPr>
      </w:pPr>
      <w:r>
        <w:rPr>
          <w:rFonts w:ascii="Calibri" w:cs="Calibri" w:hAnsi="Calibri" w:eastAsia="Calibri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